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r>
              <w:rPr>
                <w:b/>
                <w:sz w:val="32"/>
              </w:rPr>
              <w:br/>
            </w:r>
            <w:bookmarkStart w:id="0" w:name="_GoBack"/>
            <w:r>
              <w:rPr>
                <w:b/>
                <w:sz w:val="32"/>
              </w:rPr>
              <w:t xml:space="preserve">Gesuch </w:t>
            </w:r>
            <w:r>
              <w:rPr>
                <w:b/>
                <w:sz w:val="32"/>
              </w:rPr>
              <w:br/>
              <w:t>um Nichtbekanntgabe einer Betreibung an Dritte</w:t>
            </w:r>
            <w:r>
              <w:rPr>
                <w:b/>
                <w:sz w:val="32"/>
              </w:rPr>
              <w:br/>
              <w:t>(Art. 8a Abs.  3 Bst. d SchKG)</w:t>
            </w:r>
            <w:bookmarkEnd w:id="0"/>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Funotenzeichen"/>
          <w:b/>
          <w:sz w:val="24"/>
        </w:rPr>
        <w:footnoteReference w:id="1"/>
      </w:r>
    </w:p>
    <w:p w:rsidR="002B34A1" w:rsidRDefault="002B34A1">
      <w:pPr>
        <w:spacing w:line="240" w:lineRule="auto"/>
        <w:rPr>
          <w:b/>
          <w:sz w:val="24"/>
        </w:rPr>
      </w:pPr>
    </w:p>
    <w:p w:rsidR="002B34A1" w:rsidRDefault="004D4768">
      <w:pPr>
        <w:spacing w:line="240" w:lineRule="auto"/>
        <w:outlineLvl w:val="4"/>
        <w:rPr>
          <w:rFonts w:eastAsia="Times New Roman"/>
          <w:b/>
          <w:color w:val="000000"/>
          <w:sz w:val="20"/>
          <w:szCs w:val="23"/>
          <w:lang w:val="de-DE" w:eastAsia="de-CH"/>
        </w:rPr>
      </w:pPr>
      <w:hyperlink r:id="rId9"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0"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1"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2"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 xml:space="preserve">b. </w:t>
      </w:r>
      <w:proofErr w:type="gramStart"/>
      <w:r>
        <w:rPr>
          <w:rFonts w:eastAsia="Times New Roman"/>
          <w:color w:val="454545"/>
          <w:sz w:val="20"/>
          <w:szCs w:val="23"/>
          <w:lang w:val="de-DE" w:eastAsia="de-CH"/>
        </w:rPr>
        <w:t>der Schuldner</w:t>
      </w:r>
      <w:proofErr w:type="gramEnd"/>
      <w:r>
        <w:rPr>
          <w:rFonts w:eastAsia="Times New Roman"/>
          <w:color w:val="454545"/>
          <w:sz w:val="20"/>
          <w:szCs w:val="23"/>
          <w:lang w:val="de-DE" w:eastAsia="de-CH"/>
        </w:rPr>
        <w:t xml:space="preserve">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Das Einsichtsrecht Dritter erlischt fünf Jahre nach Abschluss des Verfahrens. Gerichts- und Verwaltungsbehörden können im Interesse eines Verfahrens, das bei ihnen hängig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4D4768">
      <w:pPr>
        <w:spacing w:line="240" w:lineRule="auto"/>
        <w:outlineLvl w:val="4"/>
        <w:rPr>
          <w:rFonts w:eastAsia="Times New Roman"/>
          <w:b/>
          <w:bCs/>
          <w:sz w:val="20"/>
          <w:szCs w:val="23"/>
          <w:lang w:val="de-DE" w:eastAsia="de-CH"/>
        </w:rPr>
      </w:pPr>
      <w:hyperlink r:id="rId13"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4"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Funotentext"/>
      </w:pPr>
      <w:r>
        <w:rPr>
          <w:rStyle w:val="Funotenzeichen"/>
        </w:rPr>
        <w:footnoteRef/>
      </w:r>
      <w:r>
        <w:t xml:space="preserve"> In Kraft ab dem 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1"/>
    <w:rsid w:val="002B34A1"/>
    <w:rsid w:val="003209B0"/>
    <w:rsid w:val="004D47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C4FE4E-A768-43D7-B333-05329FDC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 2 fak Gesuch um Nichtbekanntgabe einer Betreibung an Dritt (Art. 8a Abs. 3 Bst. d SchKG)</vt:lpstr>
    </vt:vector>
  </TitlesOfParts>
  <Company>Bundesverwaltung</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Caminada Sandro</cp:lastModifiedBy>
  <cp:revision>2</cp:revision>
  <cp:lastPrinted>2018-08-31T08:19:00Z</cp:lastPrinted>
  <dcterms:created xsi:type="dcterms:W3CDTF">2018-10-23T12:15:00Z</dcterms:created>
  <dcterms:modified xsi:type="dcterms:W3CDTF">2018-10-23T12:15:00Z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